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5D3CB9A5" w:rsidR="00000B0B" w:rsidRDefault="00000B0B" w:rsidP="00A32153">
      <w:pPr>
        <w:rPr>
          <w:b/>
          <w:bCs/>
          <w:u w:val="single"/>
        </w:rPr>
      </w:pPr>
    </w:p>
    <w:p w14:paraId="7DAACFE5" w14:textId="02BD1B55" w:rsidR="00343B7B" w:rsidRDefault="00343B7B" w:rsidP="00343B7B">
      <w:pPr>
        <w:jc w:val="center"/>
        <w:rPr>
          <w:rStyle w:val="normaltextrun"/>
          <w:b/>
          <w:bCs/>
          <w:color w:val="000000"/>
          <w:bdr w:val="none" w:sz="0" w:space="0" w:color="auto" w:frame="1"/>
        </w:rPr>
      </w:pPr>
      <w:r>
        <w:rPr>
          <w:rStyle w:val="normaltextrun"/>
          <w:b/>
          <w:bCs/>
          <w:color w:val="000000"/>
          <w:bdr w:val="none" w:sz="0" w:space="0" w:color="auto" w:frame="1"/>
        </w:rPr>
        <w:t>Application Status</w:t>
      </w:r>
    </w:p>
    <w:tbl>
      <w:tblPr>
        <w:tblW w:w="105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22"/>
      </w:tblGrid>
      <w:tr w:rsidR="00343B7B" w:rsidRPr="00343B7B" w14:paraId="0CF75773" w14:textId="77777777" w:rsidTr="00343B7B">
        <w:tc>
          <w:tcPr>
            <w:tcW w:w="10522" w:type="dxa"/>
            <w:tcBorders>
              <w:top w:val="single" w:sz="6" w:space="0" w:color="auto"/>
              <w:left w:val="single" w:sz="6" w:space="0" w:color="auto"/>
              <w:bottom w:val="single" w:sz="6" w:space="0" w:color="auto"/>
              <w:right w:val="single" w:sz="6" w:space="0" w:color="auto"/>
            </w:tcBorders>
            <w:shd w:val="clear" w:color="auto" w:fill="auto"/>
            <w:hideMark/>
          </w:tcPr>
          <w:p w14:paraId="1F514CAD" w14:textId="77777777" w:rsidR="00343B7B" w:rsidRPr="00343B7B" w:rsidRDefault="00343B7B" w:rsidP="00343B7B">
            <w:pPr>
              <w:spacing w:after="0" w:line="240" w:lineRule="auto"/>
              <w:textAlignment w:val="baseline"/>
              <w:rPr>
                <w:rFonts w:ascii="Segoe UI" w:eastAsia="Times New Roman" w:hAnsi="Segoe UI" w:cs="Segoe UI"/>
                <w:sz w:val="18"/>
                <w:szCs w:val="18"/>
              </w:rPr>
            </w:pPr>
            <w:r w:rsidRPr="00343B7B">
              <w:rPr>
                <w:rFonts w:eastAsia="Times New Roman"/>
              </w:rPr>
              <w:t>Script </w:t>
            </w:r>
          </w:p>
        </w:tc>
      </w:tr>
      <w:tr w:rsidR="00343B7B" w:rsidRPr="00343B7B" w14:paraId="1BFAED77" w14:textId="77777777" w:rsidTr="00343B7B">
        <w:tc>
          <w:tcPr>
            <w:tcW w:w="10522" w:type="dxa"/>
            <w:tcBorders>
              <w:top w:val="nil"/>
              <w:left w:val="single" w:sz="6" w:space="0" w:color="auto"/>
              <w:bottom w:val="single" w:sz="6" w:space="0" w:color="auto"/>
              <w:right w:val="single" w:sz="6" w:space="0" w:color="auto"/>
            </w:tcBorders>
            <w:shd w:val="clear" w:color="auto" w:fill="auto"/>
            <w:hideMark/>
          </w:tcPr>
          <w:p w14:paraId="07E29F03" w14:textId="77777777" w:rsidR="00343B7B" w:rsidRPr="00343B7B" w:rsidRDefault="00343B7B" w:rsidP="00343B7B">
            <w:pPr>
              <w:spacing w:after="0" w:line="240" w:lineRule="auto"/>
              <w:textAlignment w:val="baseline"/>
              <w:rPr>
                <w:rFonts w:ascii="Segoe UI" w:eastAsia="Times New Roman" w:hAnsi="Segoe UI" w:cs="Segoe UI"/>
                <w:sz w:val="18"/>
                <w:szCs w:val="18"/>
              </w:rPr>
            </w:pPr>
            <w:r w:rsidRPr="00343B7B">
              <w:rPr>
                <w:rFonts w:eastAsia="Times New Roman"/>
              </w:rPr>
              <w:t>Welcome to the AmpliFund applicant series video focused on application status. </w:t>
            </w:r>
          </w:p>
        </w:tc>
      </w:tr>
      <w:tr w:rsidR="00343B7B" w:rsidRPr="00343B7B" w14:paraId="0AC27F0A" w14:textId="77777777" w:rsidTr="00343B7B">
        <w:tc>
          <w:tcPr>
            <w:tcW w:w="10522" w:type="dxa"/>
            <w:tcBorders>
              <w:top w:val="nil"/>
              <w:left w:val="single" w:sz="6" w:space="0" w:color="auto"/>
              <w:bottom w:val="single" w:sz="6" w:space="0" w:color="auto"/>
              <w:right w:val="single" w:sz="6" w:space="0" w:color="auto"/>
            </w:tcBorders>
            <w:shd w:val="clear" w:color="auto" w:fill="auto"/>
            <w:hideMark/>
          </w:tcPr>
          <w:p w14:paraId="0474AAA0" w14:textId="77777777" w:rsidR="00343B7B" w:rsidRPr="00343B7B" w:rsidRDefault="00343B7B" w:rsidP="00343B7B">
            <w:pPr>
              <w:spacing w:after="0" w:line="240" w:lineRule="auto"/>
              <w:textAlignment w:val="baseline"/>
              <w:rPr>
                <w:rFonts w:ascii="Segoe UI" w:eastAsia="Times New Roman" w:hAnsi="Segoe UI" w:cs="Segoe UI"/>
                <w:sz w:val="18"/>
                <w:szCs w:val="18"/>
              </w:rPr>
            </w:pPr>
            <w:r w:rsidRPr="00343B7B">
              <w:rPr>
                <w:rFonts w:eastAsia="Times New Roman"/>
              </w:rPr>
              <w:t>In the AmpliFund applicant portal, you may see the following application status: saved, unsubmitted, submitted or withdrawn. </w:t>
            </w:r>
          </w:p>
        </w:tc>
      </w:tr>
      <w:tr w:rsidR="00343B7B" w:rsidRPr="00343B7B" w14:paraId="57721443" w14:textId="77777777" w:rsidTr="00343B7B">
        <w:tc>
          <w:tcPr>
            <w:tcW w:w="10522" w:type="dxa"/>
            <w:tcBorders>
              <w:top w:val="nil"/>
              <w:left w:val="single" w:sz="6" w:space="0" w:color="auto"/>
              <w:bottom w:val="single" w:sz="6" w:space="0" w:color="auto"/>
              <w:right w:val="single" w:sz="6" w:space="0" w:color="auto"/>
            </w:tcBorders>
            <w:shd w:val="clear" w:color="auto" w:fill="auto"/>
            <w:hideMark/>
          </w:tcPr>
          <w:p w14:paraId="62905DF9" w14:textId="77777777" w:rsidR="00343B7B" w:rsidRPr="00343B7B" w:rsidRDefault="00343B7B" w:rsidP="00343B7B">
            <w:pPr>
              <w:spacing w:after="0" w:line="240" w:lineRule="auto"/>
              <w:textAlignment w:val="baseline"/>
              <w:rPr>
                <w:rFonts w:ascii="Segoe UI" w:eastAsia="Times New Roman" w:hAnsi="Segoe UI" w:cs="Segoe UI"/>
                <w:sz w:val="18"/>
                <w:szCs w:val="18"/>
              </w:rPr>
            </w:pPr>
            <w:r w:rsidRPr="00343B7B">
              <w:rPr>
                <w:rFonts w:eastAsia="Times New Roman"/>
              </w:rPr>
              <w:t>You can log into the applicant portal at </w:t>
            </w:r>
            <w:proofErr w:type="spellStart"/>
            <w:r w:rsidRPr="00343B7B">
              <w:rPr>
                <w:rFonts w:eastAsia="Times New Roman"/>
              </w:rPr>
              <w:t>anytime</w:t>
            </w:r>
            <w:proofErr w:type="spellEnd"/>
            <w:r w:rsidRPr="00343B7B">
              <w:rPr>
                <w:rFonts w:eastAsia="Times New Roman"/>
              </w:rPr>
              <w:t> to work on applications or view an application status.  Visit the public link provided by your funder.  When you log in, click on the logo at the top left to see a list of your applications.  You may see the AmpliFund logo or your funders logo. </w:t>
            </w:r>
          </w:p>
        </w:tc>
      </w:tr>
      <w:tr w:rsidR="00343B7B" w:rsidRPr="00343B7B" w14:paraId="29A5AF70" w14:textId="77777777" w:rsidTr="00343B7B">
        <w:tc>
          <w:tcPr>
            <w:tcW w:w="10522" w:type="dxa"/>
            <w:tcBorders>
              <w:top w:val="nil"/>
              <w:left w:val="single" w:sz="6" w:space="0" w:color="auto"/>
              <w:bottom w:val="single" w:sz="6" w:space="0" w:color="auto"/>
              <w:right w:val="single" w:sz="6" w:space="0" w:color="auto"/>
            </w:tcBorders>
            <w:shd w:val="clear" w:color="auto" w:fill="auto"/>
            <w:hideMark/>
          </w:tcPr>
          <w:p w14:paraId="4E804361" w14:textId="77777777" w:rsidR="00343B7B" w:rsidRPr="00343B7B" w:rsidRDefault="00343B7B" w:rsidP="00343B7B">
            <w:pPr>
              <w:spacing w:after="0" w:line="240" w:lineRule="auto"/>
              <w:textAlignment w:val="baseline"/>
              <w:rPr>
                <w:rFonts w:ascii="Segoe UI" w:eastAsia="Times New Roman" w:hAnsi="Segoe UI" w:cs="Segoe UI"/>
                <w:sz w:val="18"/>
                <w:szCs w:val="18"/>
              </w:rPr>
            </w:pPr>
            <w:r w:rsidRPr="00343B7B">
              <w:rPr>
                <w:rFonts w:eastAsia="Times New Roman"/>
              </w:rPr>
              <w:t>Under the applications tab, you can see all applications </w:t>
            </w:r>
            <w:proofErr w:type="gramStart"/>
            <w:r w:rsidRPr="00343B7B">
              <w:rPr>
                <w:rFonts w:eastAsia="Times New Roman"/>
              </w:rPr>
              <w:t>you’ve</w:t>
            </w:r>
            <w:proofErr w:type="gramEnd"/>
            <w:r w:rsidRPr="00343B7B">
              <w:rPr>
                <w:rFonts w:eastAsia="Times New Roman"/>
              </w:rPr>
              <w:t> interacted with in the AmpliFund applicant portal.  This screen will provide key details like the application name and submission open/closed dates.  Note that funders can designate when applications/opportunities are archived, they will not be available for review after the archive date set by the funder. </w:t>
            </w:r>
          </w:p>
        </w:tc>
      </w:tr>
      <w:tr w:rsidR="00343B7B" w:rsidRPr="00343B7B" w14:paraId="7131AE1A" w14:textId="77777777" w:rsidTr="00343B7B">
        <w:tc>
          <w:tcPr>
            <w:tcW w:w="10522" w:type="dxa"/>
            <w:tcBorders>
              <w:top w:val="nil"/>
              <w:left w:val="single" w:sz="6" w:space="0" w:color="auto"/>
              <w:bottom w:val="single" w:sz="6" w:space="0" w:color="auto"/>
              <w:right w:val="single" w:sz="6" w:space="0" w:color="auto"/>
            </w:tcBorders>
            <w:shd w:val="clear" w:color="auto" w:fill="auto"/>
            <w:hideMark/>
          </w:tcPr>
          <w:p w14:paraId="5448354D" w14:textId="77777777" w:rsidR="00343B7B" w:rsidRPr="00343B7B" w:rsidRDefault="00343B7B" w:rsidP="00343B7B">
            <w:pPr>
              <w:spacing w:after="0" w:line="240" w:lineRule="auto"/>
              <w:textAlignment w:val="baseline"/>
              <w:rPr>
                <w:rFonts w:ascii="Segoe UI" w:eastAsia="Times New Roman" w:hAnsi="Segoe UI" w:cs="Segoe UI"/>
                <w:sz w:val="18"/>
                <w:szCs w:val="18"/>
              </w:rPr>
            </w:pPr>
            <w:r w:rsidRPr="00343B7B">
              <w:rPr>
                <w:rFonts w:eastAsia="Times New Roman"/>
              </w:rPr>
              <w:t>To jump into any </w:t>
            </w:r>
            <w:proofErr w:type="gramStart"/>
            <w:r w:rsidRPr="00343B7B">
              <w:rPr>
                <w:rFonts w:eastAsia="Times New Roman"/>
              </w:rPr>
              <w:t>application</w:t>
            </w:r>
            <w:proofErr w:type="gramEnd"/>
            <w:r w:rsidRPr="00343B7B">
              <w:rPr>
                <w:rFonts w:eastAsia="Times New Roman"/>
              </w:rPr>
              <w:t> click on the application name, which will take you to the opportunity detail page.  If you’ve started to apply for that opportunity, you’ll be able to navigate through the application from there or if you’ve saved the opportunity and the opportunity is still open, meaning the funder is accepting applications, you can click apply.  You should check with others at your organization before starting a new application. </w:t>
            </w:r>
          </w:p>
        </w:tc>
      </w:tr>
      <w:tr w:rsidR="00343B7B" w:rsidRPr="00343B7B" w14:paraId="4DC7CEC7" w14:textId="77777777" w:rsidTr="00343B7B">
        <w:tc>
          <w:tcPr>
            <w:tcW w:w="10522" w:type="dxa"/>
            <w:tcBorders>
              <w:top w:val="nil"/>
              <w:left w:val="single" w:sz="6" w:space="0" w:color="auto"/>
              <w:bottom w:val="single" w:sz="6" w:space="0" w:color="auto"/>
              <w:right w:val="single" w:sz="6" w:space="0" w:color="auto"/>
            </w:tcBorders>
            <w:shd w:val="clear" w:color="auto" w:fill="auto"/>
            <w:hideMark/>
          </w:tcPr>
          <w:p w14:paraId="19F10133" w14:textId="77777777" w:rsidR="00343B7B" w:rsidRPr="00343B7B" w:rsidRDefault="00343B7B" w:rsidP="00343B7B">
            <w:pPr>
              <w:spacing w:after="0" w:line="240" w:lineRule="auto"/>
              <w:textAlignment w:val="baseline"/>
              <w:rPr>
                <w:rFonts w:ascii="Segoe UI" w:eastAsia="Times New Roman" w:hAnsi="Segoe UI" w:cs="Segoe UI"/>
                <w:sz w:val="18"/>
                <w:szCs w:val="18"/>
              </w:rPr>
            </w:pPr>
            <w:r w:rsidRPr="00343B7B">
              <w:rPr>
                <w:rFonts w:eastAsia="Times New Roman"/>
              </w:rPr>
              <w:t>If </w:t>
            </w:r>
            <w:proofErr w:type="gramStart"/>
            <w:r w:rsidRPr="00343B7B">
              <w:rPr>
                <w:rFonts w:eastAsia="Times New Roman"/>
              </w:rPr>
              <w:t>you’ve</w:t>
            </w:r>
            <w:proofErr w:type="gramEnd"/>
            <w:r w:rsidRPr="00343B7B">
              <w:rPr>
                <w:rFonts w:eastAsia="Times New Roman"/>
              </w:rPr>
              <w:t> previously submitted an application and want to withdraw it from consideration, from the application page, click on the application name. </w:t>
            </w:r>
          </w:p>
        </w:tc>
      </w:tr>
      <w:tr w:rsidR="00343B7B" w:rsidRPr="00343B7B" w14:paraId="17A0B20D" w14:textId="77777777" w:rsidTr="00343B7B">
        <w:tc>
          <w:tcPr>
            <w:tcW w:w="10522" w:type="dxa"/>
            <w:tcBorders>
              <w:top w:val="nil"/>
              <w:left w:val="single" w:sz="6" w:space="0" w:color="auto"/>
              <w:bottom w:val="single" w:sz="6" w:space="0" w:color="auto"/>
              <w:right w:val="single" w:sz="6" w:space="0" w:color="auto"/>
            </w:tcBorders>
            <w:shd w:val="clear" w:color="auto" w:fill="auto"/>
            <w:hideMark/>
          </w:tcPr>
          <w:p w14:paraId="05548C8D" w14:textId="77777777" w:rsidR="00343B7B" w:rsidRPr="00343B7B" w:rsidRDefault="00343B7B" w:rsidP="00343B7B">
            <w:pPr>
              <w:spacing w:after="0" w:line="240" w:lineRule="auto"/>
              <w:textAlignment w:val="baseline"/>
              <w:rPr>
                <w:rFonts w:ascii="Segoe UI" w:eastAsia="Times New Roman" w:hAnsi="Segoe UI" w:cs="Segoe UI"/>
                <w:sz w:val="18"/>
                <w:szCs w:val="18"/>
              </w:rPr>
            </w:pPr>
            <w:r w:rsidRPr="00343B7B">
              <w:rPr>
                <w:rFonts w:eastAsia="Times New Roman"/>
              </w:rPr>
              <w:t>This will take you into your application where you can click the red withdraw button. </w:t>
            </w:r>
          </w:p>
        </w:tc>
      </w:tr>
      <w:tr w:rsidR="00343B7B" w:rsidRPr="00343B7B" w14:paraId="1AF3E274" w14:textId="77777777" w:rsidTr="00343B7B">
        <w:tc>
          <w:tcPr>
            <w:tcW w:w="10522" w:type="dxa"/>
            <w:tcBorders>
              <w:top w:val="nil"/>
              <w:left w:val="single" w:sz="6" w:space="0" w:color="auto"/>
              <w:bottom w:val="single" w:sz="6" w:space="0" w:color="auto"/>
              <w:right w:val="single" w:sz="6" w:space="0" w:color="auto"/>
            </w:tcBorders>
            <w:shd w:val="clear" w:color="auto" w:fill="auto"/>
            <w:hideMark/>
          </w:tcPr>
          <w:p w14:paraId="0ADB5260" w14:textId="77777777" w:rsidR="00343B7B" w:rsidRPr="00343B7B" w:rsidRDefault="00343B7B" w:rsidP="00343B7B">
            <w:pPr>
              <w:spacing w:after="0" w:line="240" w:lineRule="auto"/>
              <w:textAlignment w:val="baseline"/>
              <w:rPr>
                <w:rFonts w:ascii="Segoe UI" w:eastAsia="Times New Roman" w:hAnsi="Segoe UI" w:cs="Segoe UI"/>
                <w:sz w:val="18"/>
                <w:szCs w:val="18"/>
              </w:rPr>
            </w:pPr>
            <w:r w:rsidRPr="00343B7B">
              <w:rPr>
                <w:rFonts w:eastAsia="Times New Roman"/>
              </w:rPr>
              <w:t>If you click withdraw, a warning message will appear.  Once you withdraw an application it cannot be resubmitted.  If you hit withdraw again, it will withdraw your application.  The application will still appear on your applications list but with the status of withdrawn.  If </w:t>
            </w:r>
            <w:proofErr w:type="gramStart"/>
            <w:r w:rsidRPr="00343B7B">
              <w:rPr>
                <w:rFonts w:eastAsia="Times New Roman"/>
              </w:rPr>
              <w:t>you’ve</w:t>
            </w:r>
            <w:proofErr w:type="gramEnd"/>
            <w:r w:rsidRPr="00343B7B">
              <w:rPr>
                <w:rFonts w:eastAsia="Times New Roman"/>
              </w:rPr>
              <w:t> changed your mind, click off the warning.  You </w:t>
            </w:r>
            <w:proofErr w:type="gramStart"/>
            <w:r w:rsidRPr="00343B7B">
              <w:rPr>
                <w:rFonts w:eastAsia="Times New Roman"/>
              </w:rPr>
              <w:t>are able to</w:t>
            </w:r>
            <w:proofErr w:type="gramEnd"/>
            <w:r w:rsidRPr="00343B7B">
              <w:rPr>
                <w:rFonts w:eastAsia="Times New Roman"/>
              </w:rPr>
              <w:t> access content in a withdrawn application and download the information submitted.  If the funder is only allowing one application per organization and you want to submit a new application for an opportunity where you’ve withdrawn a previous application, you will need to delete the withdrawn application to submit a new one.  We recommend downloading and saving your content before deleting as you </w:t>
            </w:r>
            <w:proofErr w:type="gramStart"/>
            <w:r w:rsidRPr="00343B7B">
              <w:rPr>
                <w:rFonts w:eastAsia="Times New Roman"/>
              </w:rPr>
              <w:t>won’t</w:t>
            </w:r>
            <w:proofErr w:type="gramEnd"/>
            <w:r w:rsidRPr="00343B7B">
              <w:rPr>
                <w:rFonts w:eastAsia="Times New Roman"/>
              </w:rPr>
              <w:t> be able to access your application after deleting. </w:t>
            </w:r>
          </w:p>
        </w:tc>
      </w:tr>
      <w:tr w:rsidR="00343B7B" w:rsidRPr="00343B7B" w14:paraId="40CBBA7A" w14:textId="77777777" w:rsidTr="00343B7B">
        <w:tc>
          <w:tcPr>
            <w:tcW w:w="10522" w:type="dxa"/>
            <w:tcBorders>
              <w:top w:val="nil"/>
              <w:left w:val="single" w:sz="6" w:space="0" w:color="auto"/>
              <w:bottom w:val="single" w:sz="6" w:space="0" w:color="auto"/>
              <w:right w:val="single" w:sz="6" w:space="0" w:color="auto"/>
            </w:tcBorders>
            <w:shd w:val="clear" w:color="auto" w:fill="auto"/>
            <w:hideMark/>
          </w:tcPr>
          <w:p w14:paraId="19432AC0" w14:textId="77777777" w:rsidR="00343B7B" w:rsidRPr="00343B7B" w:rsidRDefault="00343B7B" w:rsidP="00343B7B">
            <w:pPr>
              <w:spacing w:after="0" w:line="240" w:lineRule="auto"/>
              <w:textAlignment w:val="baseline"/>
              <w:rPr>
                <w:rFonts w:ascii="Segoe UI" w:eastAsia="Times New Roman" w:hAnsi="Segoe UI" w:cs="Segoe UI"/>
                <w:sz w:val="18"/>
                <w:szCs w:val="18"/>
              </w:rPr>
            </w:pPr>
            <w:r w:rsidRPr="00343B7B">
              <w:rPr>
                <w:rFonts w:eastAsia="Times New Roman"/>
              </w:rPr>
              <w:t>On the application page you also have the option to delete an application.  You can do this by clicking the trash can icon next to any application name. </w:t>
            </w:r>
          </w:p>
        </w:tc>
      </w:tr>
      <w:tr w:rsidR="00343B7B" w:rsidRPr="00343B7B" w14:paraId="228A3C82" w14:textId="77777777" w:rsidTr="00343B7B">
        <w:tc>
          <w:tcPr>
            <w:tcW w:w="10522" w:type="dxa"/>
            <w:tcBorders>
              <w:top w:val="nil"/>
              <w:left w:val="single" w:sz="6" w:space="0" w:color="auto"/>
              <w:bottom w:val="single" w:sz="6" w:space="0" w:color="auto"/>
              <w:right w:val="single" w:sz="6" w:space="0" w:color="auto"/>
            </w:tcBorders>
            <w:shd w:val="clear" w:color="auto" w:fill="auto"/>
            <w:hideMark/>
          </w:tcPr>
          <w:p w14:paraId="62BDB309" w14:textId="77777777" w:rsidR="00343B7B" w:rsidRPr="00343B7B" w:rsidRDefault="00343B7B" w:rsidP="00343B7B">
            <w:pPr>
              <w:spacing w:after="0" w:line="240" w:lineRule="auto"/>
              <w:textAlignment w:val="baseline"/>
              <w:rPr>
                <w:rFonts w:ascii="Segoe UI" w:eastAsia="Times New Roman" w:hAnsi="Segoe UI" w:cs="Segoe UI"/>
                <w:sz w:val="18"/>
                <w:szCs w:val="18"/>
              </w:rPr>
            </w:pPr>
            <w:r w:rsidRPr="00343B7B">
              <w:rPr>
                <w:rFonts w:eastAsia="Times New Roman"/>
              </w:rPr>
              <w:t>If you hit delete, a warning message will appear.  If you delete an application all information will be deleted and is not able to be recovered.  Select either cancel or delete to move forward. </w:t>
            </w:r>
          </w:p>
        </w:tc>
      </w:tr>
      <w:tr w:rsidR="00343B7B" w:rsidRPr="00343B7B" w14:paraId="30F4155C" w14:textId="77777777" w:rsidTr="00343B7B">
        <w:tc>
          <w:tcPr>
            <w:tcW w:w="10522" w:type="dxa"/>
            <w:tcBorders>
              <w:top w:val="nil"/>
              <w:left w:val="single" w:sz="6" w:space="0" w:color="auto"/>
              <w:bottom w:val="single" w:sz="6" w:space="0" w:color="auto"/>
              <w:right w:val="single" w:sz="6" w:space="0" w:color="auto"/>
            </w:tcBorders>
            <w:shd w:val="clear" w:color="auto" w:fill="auto"/>
            <w:hideMark/>
          </w:tcPr>
          <w:p w14:paraId="2C4011B5" w14:textId="77777777" w:rsidR="00343B7B" w:rsidRPr="00343B7B" w:rsidRDefault="00343B7B" w:rsidP="00343B7B">
            <w:pPr>
              <w:spacing w:after="0" w:line="240" w:lineRule="auto"/>
              <w:textAlignment w:val="baseline"/>
              <w:rPr>
                <w:rFonts w:ascii="Segoe UI" w:eastAsia="Times New Roman" w:hAnsi="Segoe UI" w:cs="Segoe UI"/>
                <w:sz w:val="18"/>
                <w:szCs w:val="18"/>
              </w:rPr>
            </w:pPr>
            <w:r w:rsidRPr="00343B7B">
              <w:rPr>
                <w:rFonts w:eastAsia="Times New Roman"/>
              </w:rPr>
              <w:t>Through this applicant series video, </w:t>
            </w:r>
            <w:proofErr w:type="gramStart"/>
            <w:r w:rsidRPr="00343B7B">
              <w:rPr>
                <w:rFonts w:eastAsia="Times New Roman"/>
              </w:rPr>
              <w:t>you’ve</w:t>
            </w:r>
            <w:proofErr w:type="gramEnd"/>
            <w:r w:rsidRPr="00343B7B">
              <w:rPr>
                <w:rFonts w:eastAsia="Times New Roman"/>
              </w:rPr>
              <w:t> learned about the applications page and available application status options.  Thank you for attending! </w:t>
            </w:r>
          </w:p>
        </w:tc>
      </w:tr>
    </w:tbl>
    <w:p w14:paraId="2BCE480C" w14:textId="77777777" w:rsidR="00343B7B" w:rsidRDefault="00343B7B" w:rsidP="00343B7B">
      <w:pPr>
        <w:jc w:val="center"/>
        <w:rPr>
          <w:b/>
          <w:bCs/>
          <w:u w:val="single"/>
        </w:rPr>
      </w:pPr>
    </w:p>
    <w:sectPr w:rsidR="00343B7B"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6C4EF" w14:textId="77777777" w:rsidR="00C50EE9" w:rsidRDefault="00C50EE9" w:rsidP="00000B0B">
      <w:pPr>
        <w:spacing w:after="0" w:line="240" w:lineRule="auto"/>
      </w:pPr>
      <w:r>
        <w:separator/>
      </w:r>
    </w:p>
  </w:endnote>
  <w:endnote w:type="continuationSeparator" w:id="0">
    <w:p w14:paraId="49982B7B" w14:textId="77777777" w:rsidR="00C50EE9" w:rsidRDefault="00C50EE9"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A9C9D" w14:textId="77777777" w:rsidR="00C50EE9" w:rsidRDefault="00C50EE9" w:rsidP="00000B0B">
      <w:pPr>
        <w:spacing w:after="0" w:line="240" w:lineRule="auto"/>
      </w:pPr>
      <w:r>
        <w:separator/>
      </w:r>
    </w:p>
  </w:footnote>
  <w:footnote w:type="continuationSeparator" w:id="0">
    <w:p w14:paraId="521A64EC" w14:textId="77777777" w:rsidR="00C50EE9" w:rsidRDefault="00C50EE9"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43B7B"/>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C50EE9"/>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343B7B"/>
  </w:style>
  <w:style w:type="paragraph" w:customStyle="1" w:styleId="paragraph">
    <w:name w:val="paragraph"/>
    <w:basedOn w:val="Normal"/>
    <w:rsid w:val="00343B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43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399827">
      <w:bodyDiv w:val="1"/>
      <w:marLeft w:val="0"/>
      <w:marRight w:val="0"/>
      <w:marTop w:val="0"/>
      <w:marBottom w:val="0"/>
      <w:divBdr>
        <w:top w:val="none" w:sz="0" w:space="0" w:color="auto"/>
        <w:left w:val="none" w:sz="0" w:space="0" w:color="auto"/>
        <w:bottom w:val="none" w:sz="0" w:space="0" w:color="auto"/>
        <w:right w:val="none" w:sz="0" w:space="0" w:color="auto"/>
      </w:divBdr>
      <w:divsChild>
        <w:div w:id="1334258946">
          <w:marLeft w:val="0"/>
          <w:marRight w:val="0"/>
          <w:marTop w:val="0"/>
          <w:marBottom w:val="0"/>
          <w:divBdr>
            <w:top w:val="none" w:sz="0" w:space="0" w:color="auto"/>
            <w:left w:val="none" w:sz="0" w:space="0" w:color="auto"/>
            <w:bottom w:val="none" w:sz="0" w:space="0" w:color="auto"/>
            <w:right w:val="none" w:sz="0" w:space="0" w:color="auto"/>
          </w:divBdr>
          <w:divsChild>
            <w:div w:id="1354383206">
              <w:marLeft w:val="0"/>
              <w:marRight w:val="0"/>
              <w:marTop w:val="0"/>
              <w:marBottom w:val="0"/>
              <w:divBdr>
                <w:top w:val="none" w:sz="0" w:space="0" w:color="auto"/>
                <w:left w:val="none" w:sz="0" w:space="0" w:color="auto"/>
                <w:bottom w:val="none" w:sz="0" w:space="0" w:color="auto"/>
                <w:right w:val="none" w:sz="0" w:space="0" w:color="auto"/>
              </w:divBdr>
            </w:div>
          </w:divsChild>
        </w:div>
        <w:div w:id="1258176531">
          <w:marLeft w:val="0"/>
          <w:marRight w:val="0"/>
          <w:marTop w:val="0"/>
          <w:marBottom w:val="0"/>
          <w:divBdr>
            <w:top w:val="none" w:sz="0" w:space="0" w:color="auto"/>
            <w:left w:val="none" w:sz="0" w:space="0" w:color="auto"/>
            <w:bottom w:val="none" w:sz="0" w:space="0" w:color="auto"/>
            <w:right w:val="none" w:sz="0" w:space="0" w:color="auto"/>
          </w:divBdr>
          <w:divsChild>
            <w:div w:id="765734867">
              <w:marLeft w:val="0"/>
              <w:marRight w:val="0"/>
              <w:marTop w:val="0"/>
              <w:marBottom w:val="0"/>
              <w:divBdr>
                <w:top w:val="none" w:sz="0" w:space="0" w:color="auto"/>
                <w:left w:val="none" w:sz="0" w:space="0" w:color="auto"/>
                <w:bottom w:val="none" w:sz="0" w:space="0" w:color="auto"/>
                <w:right w:val="none" w:sz="0" w:space="0" w:color="auto"/>
              </w:divBdr>
            </w:div>
          </w:divsChild>
        </w:div>
        <w:div w:id="1638224363">
          <w:marLeft w:val="0"/>
          <w:marRight w:val="0"/>
          <w:marTop w:val="0"/>
          <w:marBottom w:val="0"/>
          <w:divBdr>
            <w:top w:val="none" w:sz="0" w:space="0" w:color="auto"/>
            <w:left w:val="none" w:sz="0" w:space="0" w:color="auto"/>
            <w:bottom w:val="none" w:sz="0" w:space="0" w:color="auto"/>
            <w:right w:val="none" w:sz="0" w:space="0" w:color="auto"/>
          </w:divBdr>
          <w:divsChild>
            <w:div w:id="592014596">
              <w:marLeft w:val="0"/>
              <w:marRight w:val="0"/>
              <w:marTop w:val="0"/>
              <w:marBottom w:val="0"/>
              <w:divBdr>
                <w:top w:val="none" w:sz="0" w:space="0" w:color="auto"/>
                <w:left w:val="none" w:sz="0" w:space="0" w:color="auto"/>
                <w:bottom w:val="none" w:sz="0" w:space="0" w:color="auto"/>
                <w:right w:val="none" w:sz="0" w:space="0" w:color="auto"/>
              </w:divBdr>
            </w:div>
          </w:divsChild>
        </w:div>
        <w:div w:id="1650548992">
          <w:marLeft w:val="0"/>
          <w:marRight w:val="0"/>
          <w:marTop w:val="0"/>
          <w:marBottom w:val="0"/>
          <w:divBdr>
            <w:top w:val="none" w:sz="0" w:space="0" w:color="auto"/>
            <w:left w:val="none" w:sz="0" w:space="0" w:color="auto"/>
            <w:bottom w:val="none" w:sz="0" w:space="0" w:color="auto"/>
            <w:right w:val="none" w:sz="0" w:space="0" w:color="auto"/>
          </w:divBdr>
          <w:divsChild>
            <w:div w:id="1228229426">
              <w:marLeft w:val="0"/>
              <w:marRight w:val="0"/>
              <w:marTop w:val="0"/>
              <w:marBottom w:val="0"/>
              <w:divBdr>
                <w:top w:val="none" w:sz="0" w:space="0" w:color="auto"/>
                <w:left w:val="none" w:sz="0" w:space="0" w:color="auto"/>
                <w:bottom w:val="none" w:sz="0" w:space="0" w:color="auto"/>
                <w:right w:val="none" w:sz="0" w:space="0" w:color="auto"/>
              </w:divBdr>
            </w:div>
          </w:divsChild>
        </w:div>
        <w:div w:id="851606678">
          <w:marLeft w:val="0"/>
          <w:marRight w:val="0"/>
          <w:marTop w:val="0"/>
          <w:marBottom w:val="0"/>
          <w:divBdr>
            <w:top w:val="none" w:sz="0" w:space="0" w:color="auto"/>
            <w:left w:val="none" w:sz="0" w:space="0" w:color="auto"/>
            <w:bottom w:val="none" w:sz="0" w:space="0" w:color="auto"/>
            <w:right w:val="none" w:sz="0" w:space="0" w:color="auto"/>
          </w:divBdr>
          <w:divsChild>
            <w:div w:id="1886747805">
              <w:marLeft w:val="0"/>
              <w:marRight w:val="0"/>
              <w:marTop w:val="0"/>
              <w:marBottom w:val="0"/>
              <w:divBdr>
                <w:top w:val="none" w:sz="0" w:space="0" w:color="auto"/>
                <w:left w:val="none" w:sz="0" w:space="0" w:color="auto"/>
                <w:bottom w:val="none" w:sz="0" w:space="0" w:color="auto"/>
                <w:right w:val="none" w:sz="0" w:space="0" w:color="auto"/>
              </w:divBdr>
            </w:div>
          </w:divsChild>
        </w:div>
        <w:div w:id="1066414168">
          <w:marLeft w:val="0"/>
          <w:marRight w:val="0"/>
          <w:marTop w:val="0"/>
          <w:marBottom w:val="0"/>
          <w:divBdr>
            <w:top w:val="none" w:sz="0" w:space="0" w:color="auto"/>
            <w:left w:val="none" w:sz="0" w:space="0" w:color="auto"/>
            <w:bottom w:val="none" w:sz="0" w:space="0" w:color="auto"/>
            <w:right w:val="none" w:sz="0" w:space="0" w:color="auto"/>
          </w:divBdr>
          <w:divsChild>
            <w:div w:id="984578158">
              <w:marLeft w:val="0"/>
              <w:marRight w:val="0"/>
              <w:marTop w:val="0"/>
              <w:marBottom w:val="0"/>
              <w:divBdr>
                <w:top w:val="none" w:sz="0" w:space="0" w:color="auto"/>
                <w:left w:val="none" w:sz="0" w:space="0" w:color="auto"/>
                <w:bottom w:val="none" w:sz="0" w:space="0" w:color="auto"/>
                <w:right w:val="none" w:sz="0" w:space="0" w:color="auto"/>
              </w:divBdr>
            </w:div>
          </w:divsChild>
        </w:div>
        <w:div w:id="823546760">
          <w:marLeft w:val="0"/>
          <w:marRight w:val="0"/>
          <w:marTop w:val="0"/>
          <w:marBottom w:val="0"/>
          <w:divBdr>
            <w:top w:val="none" w:sz="0" w:space="0" w:color="auto"/>
            <w:left w:val="none" w:sz="0" w:space="0" w:color="auto"/>
            <w:bottom w:val="none" w:sz="0" w:space="0" w:color="auto"/>
            <w:right w:val="none" w:sz="0" w:space="0" w:color="auto"/>
          </w:divBdr>
          <w:divsChild>
            <w:div w:id="891968399">
              <w:marLeft w:val="0"/>
              <w:marRight w:val="0"/>
              <w:marTop w:val="0"/>
              <w:marBottom w:val="0"/>
              <w:divBdr>
                <w:top w:val="none" w:sz="0" w:space="0" w:color="auto"/>
                <w:left w:val="none" w:sz="0" w:space="0" w:color="auto"/>
                <w:bottom w:val="none" w:sz="0" w:space="0" w:color="auto"/>
                <w:right w:val="none" w:sz="0" w:space="0" w:color="auto"/>
              </w:divBdr>
            </w:div>
          </w:divsChild>
        </w:div>
        <w:div w:id="203561912">
          <w:marLeft w:val="0"/>
          <w:marRight w:val="0"/>
          <w:marTop w:val="0"/>
          <w:marBottom w:val="0"/>
          <w:divBdr>
            <w:top w:val="none" w:sz="0" w:space="0" w:color="auto"/>
            <w:left w:val="none" w:sz="0" w:space="0" w:color="auto"/>
            <w:bottom w:val="none" w:sz="0" w:space="0" w:color="auto"/>
            <w:right w:val="none" w:sz="0" w:space="0" w:color="auto"/>
          </w:divBdr>
          <w:divsChild>
            <w:div w:id="420610689">
              <w:marLeft w:val="0"/>
              <w:marRight w:val="0"/>
              <w:marTop w:val="0"/>
              <w:marBottom w:val="0"/>
              <w:divBdr>
                <w:top w:val="none" w:sz="0" w:space="0" w:color="auto"/>
                <w:left w:val="none" w:sz="0" w:space="0" w:color="auto"/>
                <w:bottom w:val="none" w:sz="0" w:space="0" w:color="auto"/>
                <w:right w:val="none" w:sz="0" w:space="0" w:color="auto"/>
              </w:divBdr>
            </w:div>
          </w:divsChild>
        </w:div>
        <w:div w:id="923337825">
          <w:marLeft w:val="0"/>
          <w:marRight w:val="0"/>
          <w:marTop w:val="0"/>
          <w:marBottom w:val="0"/>
          <w:divBdr>
            <w:top w:val="none" w:sz="0" w:space="0" w:color="auto"/>
            <w:left w:val="none" w:sz="0" w:space="0" w:color="auto"/>
            <w:bottom w:val="none" w:sz="0" w:space="0" w:color="auto"/>
            <w:right w:val="none" w:sz="0" w:space="0" w:color="auto"/>
          </w:divBdr>
          <w:divsChild>
            <w:div w:id="1723403743">
              <w:marLeft w:val="0"/>
              <w:marRight w:val="0"/>
              <w:marTop w:val="0"/>
              <w:marBottom w:val="0"/>
              <w:divBdr>
                <w:top w:val="none" w:sz="0" w:space="0" w:color="auto"/>
                <w:left w:val="none" w:sz="0" w:space="0" w:color="auto"/>
                <w:bottom w:val="none" w:sz="0" w:space="0" w:color="auto"/>
                <w:right w:val="none" w:sz="0" w:space="0" w:color="auto"/>
              </w:divBdr>
            </w:div>
          </w:divsChild>
        </w:div>
        <w:div w:id="708384719">
          <w:marLeft w:val="0"/>
          <w:marRight w:val="0"/>
          <w:marTop w:val="0"/>
          <w:marBottom w:val="0"/>
          <w:divBdr>
            <w:top w:val="none" w:sz="0" w:space="0" w:color="auto"/>
            <w:left w:val="none" w:sz="0" w:space="0" w:color="auto"/>
            <w:bottom w:val="none" w:sz="0" w:space="0" w:color="auto"/>
            <w:right w:val="none" w:sz="0" w:space="0" w:color="auto"/>
          </w:divBdr>
          <w:divsChild>
            <w:div w:id="221406773">
              <w:marLeft w:val="0"/>
              <w:marRight w:val="0"/>
              <w:marTop w:val="0"/>
              <w:marBottom w:val="0"/>
              <w:divBdr>
                <w:top w:val="none" w:sz="0" w:space="0" w:color="auto"/>
                <w:left w:val="none" w:sz="0" w:space="0" w:color="auto"/>
                <w:bottom w:val="none" w:sz="0" w:space="0" w:color="auto"/>
                <w:right w:val="none" w:sz="0" w:space="0" w:color="auto"/>
              </w:divBdr>
            </w:div>
          </w:divsChild>
        </w:div>
        <w:div w:id="1293437340">
          <w:marLeft w:val="0"/>
          <w:marRight w:val="0"/>
          <w:marTop w:val="0"/>
          <w:marBottom w:val="0"/>
          <w:divBdr>
            <w:top w:val="none" w:sz="0" w:space="0" w:color="auto"/>
            <w:left w:val="none" w:sz="0" w:space="0" w:color="auto"/>
            <w:bottom w:val="none" w:sz="0" w:space="0" w:color="auto"/>
            <w:right w:val="none" w:sz="0" w:space="0" w:color="auto"/>
          </w:divBdr>
          <w:divsChild>
            <w:div w:id="1839346870">
              <w:marLeft w:val="0"/>
              <w:marRight w:val="0"/>
              <w:marTop w:val="0"/>
              <w:marBottom w:val="0"/>
              <w:divBdr>
                <w:top w:val="none" w:sz="0" w:space="0" w:color="auto"/>
                <w:left w:val="none" w:sz="0" w:space="0" w:color="auto"/>
                <w:bottom w:val="none" w:sz="0" w:space="0" w:color="auto"/>
                <w:right w:val="none" w:sz="0" w:space="0" w:color="auto"/>
              </w:divBdr>
            </w:div>
          </w:divsChild>
        </w:div>
        <w:div w:id="869030150">
          <w:marLeft w:val="0"/>
          <w:marRight w:val="0"/>
          <w:marTop w:val="0"/>
          <w:marBottom w:val="0"/>
          <w:divBdr>
            <w:top w:val="none" w:sz="0" w:space="0" w:color="auto"/>
            <w:left w:val="none" w:sz="0" w:space="0" w:color="auto"/>
            <w:bottom w:val="none" w:sz="0" w:space="0" w:color="auto"/>
            <w:right w:val="none" w:sz="0" w:space="0" w:color="auto"/>
          </w:divBdr>
          <w:divsChild>
            <w:div w:id="1864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46RQJNK23EVN-1337156804-40180</_dlc_DocId>
    <_dlc_DocIdUrl xmlns="83fd7b6e-5f23-487e-aad6-cb3ca280b681">
      <Url>https://streamlinksoftware.sharepoint.com/sites/StreamLinkSoftwareCloudDrive/_layouts/15/DocIdRedir.aspx?ID=46RQJNK23EVN-1337156804-40180</Url>
      <Description>46RQJNK23EVN-1337156804-40180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2020-10-23T15:07:00Z</dcterms:created>
  <dcterms:modified xsi:type="dcterms:W3CDTF">2020-10-23T15:07:00Z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fdf38119-b373-4abb-a680-2f14fc0c9748</vt:lpwstr>
  </property>
</Properties>
</file>