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01464A9" w:rsidR="00000B0B" w:rsidRDefault="00000B0B" w:rsidP="00A32153">
      <w:pPr>
        <w:rPr>
          <w:b/>
          <w:bCs/>
          <w:u w:val="single"/>
        </w:rPr>
      </w:pPr>
    </w:p>
    <w:p w14:paraId="29664D9C" w14:textId="64BBA07D" w:rsidR="00053B6A" w:rsidRDefault="00053B6A" w:rsidP="00053B6A">
      <w:pPr>
        <w:jc w:val="center"/>
        <w:rPr>
          <w:rStyle w:val="normaltextrun"/>
          <w:b/>
          <w:bCs/>
          <w:color w:val="000000"/>
          <w:bdr w:val="none" w:sz="0" w:space="0" w:color="auto" w:frame="1"/>
        </w:rPr>
      </w:pPr>
      <w:r>
        <w:rPr>
          <w:rStyle w:val="normaltextrun"/>
          <w:b/>
          <w:bCs/>
          <w:color w:val="000000"/>
          <w:bdr w:val="none" w:sz="0" w:space="0" w:color="auto" w:frame="1"/>
        </w:rPr>
        <w:t>Opportunity Overview</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2"/>
      </w:tblGrid>
      <w:tr w:rsidR="003D3CBB" w:rsidRPr="003D3CBB" w14:paraId="65127CB3" w14:textId="77777777" w:rsidTr="003D3CBB">
        <w:tc>
          <w:tcPr>
            <w:tcW w:w="10882" w:type="dxa"/>
            <w:tcBorders>
              <w:top w:val="single" w:sz="6" w:space="0" w:color="auto"/>
              <w:left w:val="single" w:sz="6" w:space="0" w:color="auto"/>
              <w:bottom w:val="single" w:sz="6" w:space="0" w:color="auto"/>
              <w:right w:val="single" w:sz="6" w:space="0" w:color="auto"/>
            </w:tcBorders>
            <w:shd w:val="clear" w:color="auto" w:fill="auto"/>
            <w:hideMark/>
          </w:tcPr>
          <w:p w14:paraId="04A9118A"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Script </w:t>
            </w:r>
          </w:p>
        </w:tc>
      </w:tr>
      <w:tr w:rsidR="003D3CBB" w:rsidRPr="003D3CBB" w14:paraId="6356D57D"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1146C741"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Welcome to the AmpliFund applicant series video focused on opportunity overview. </w:t>
            </w:r>
          </w:p>
        </w:tc>
      </w:tr>
      <w:tr w:rsidR="003D3CBB" w:rsidRPr="003D3CBB" w14:paraId="2D326EDE"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15490430"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In the AmpliFund applicant portal, funders have a variety of options of information they can include about a potential award.  This includes sections like fund information, submission information, question submission, eligibility information and evaluation and scoring.  You may not see each section on every application you complete.  The funder will include any relevant sections in their opportunity. </w:t>
            </w:r>
          </w:p>
        </w:tc>
      </w:tr>
      <w:tr w:rsidR="003D3CBB" w:rsidRPr="003D3CBB" w14:paraId="1D2E5091"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02D414CB"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On the main opportunity page, you have options at the top to save, download or print the opportunity.  You can also access site help or begin your application process. </w:t>
            </w:r>
          </w:p>
        </w:tc>
      </w:tr>
      <w:tr w:rsidR="003D3CBB" w:rsidRPr="003D3CBB" w14:paraId="608BA1DB"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14D59396"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The first section you might see is the opportunity information section.  This can contain basic opportunity information such as the awarding agency, the posted date, and agency contact information. </w:t>
            </w:r>
          </w:p>
        </w:tc>
      </w:tr>
      <w:tr w:rsidR="003D3CBB" w:rsidRPr="003D3CBB" w14:paraId="44BEC0C9"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67CD2985"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As we scroll down, the next potential section is the funding information section which might contain the total funding available and a funding description. </w:t>
            </w:r>
          </w:p>
        </w:tc>
      </w:tr>
      <w:tr w:rsidR="003D3CBB" w:rsidRPr="003D3CBB" w14:paraId="6A4968A2"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64F6C751"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 xml:space="preserve">Next is the award information, the funder may choose to share an award ceiling or maximum and a floor or minimum amount.  This is also where </w:t>
            </w:r>
            <w:proofErr w:type="gramStart"/>
            <w:r w:rsidRPr="003D3CBB">
              <w:rPr>
                <w:rFonts w:eastAsia="Times New Roman"/>
              </w:rPr>
              <w:t>you’d</w:t>
            </w:r>
            <w:proofErr w:type="gramEnd"/>
            <w:r w:rsidRPr="003D3CBB">
              <w:rPr>
                <w:rFonts w:eastAsia="Times New Roman"/>
              </w:rPr>
              <w:t xml:space="preserve"> find the award start and end date, expected number of awards and potential matching requirements. </w:t>
            </w:r>
          </w:p>
        </w:tc>
      </w:tr>
      <w:tr w:rsidR="003D3CBB" w:rsidRPr="003D3CBB" w14:paraId="39472F08"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1D3FF282"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Our next potential section is the submission information.  This includes the open and close date and time for the application.  Take note of the close date and time as you will not be able to </w:t>
            </w:r>
            <w:proofErr w:type="gramStart"/>
            <w:r w:rsidRPr="003D3CBB">
              <w:rPr>
                <w:rFonts w:eastAsia="Times New Roman"/>
              </w:rPr>
              <w:t>submit an application</w:t>
            </w:r>
            <w:proofErr w:type="gramEnd"/>
            <w:r w:rsidRPr="003D3CBB">
              <w:rPr>
                <w:rFonts w:eastAsia="Times New Roman"/>
              </w:rPr>
              <w:t> after this date. </w:t>
            </w:r>
          </w:p>
        </w:tc>
      </w:tr>
      <w:tr w:rsidR="003D3CBB" w:rsidRPr="003D3CBB" w14:paraId="1C27199F"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7AE41C85"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If the funder is taking questions on the opportunity, they may include a question submission section.  It could include the period during which you may ask questions and the email address to send questions to. </w:t>
            </w:r>
          </w:p>
        </w:tc>
      </w:tr>
      <w:tr w:rsidR="003D3CBB" w:rsidRPr="003D3CBB" w14:paraId="060D797C"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230EB39E"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The next potential section is the technical assistance section.  If your funder is holding a technical assistance session there will be a session date/time and registration </w:t>
            </w:r>
            <w:proofErr w:type="gramStart"/>
            <w:r w:rsidRPr="003D3CBB">
              <w:rPr>
                <w:rFonts w:eastAsia="Times New Roman"/>
              </w:rPr>
              <w:t>link  found</w:t>
            </w:r>
            <w:proofErr w:type="gramEnd"/>
            <w:r w:rsidRPr="003D3CBB">
              <w:rPr>
                <w:rFonts w:eastAsia="Times New Roman"/>
              </w:rPr>
              <w:t> here. </w:t>
            </w:r>
          </w:p>
        </w:tc>
      </w:tr>
      <w:tr w:rsidR="003D3CBB" w:rsidRPr="003D3CBB" w14:paraId="16CEB00F"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4DFA4FA8"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Next is the eligibility information, this could include the types of applicants that will be accepted. </w:t>
            </w:r>
          </w:p>
        </w:tc>
      </w:tr>
      <w:tr w:rsidR="003D3CBB" w:rsidRPr="003D3CBB" w14:paraId="77B6F049"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1244E2A1"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Finally, at the bottom of our screen is an additional information section.  You may find other information or relevant links in this section. </w:t>
            </w:r>
          </w:p>
        </w:tc>
      </w:tr>
      <w:tr w:rsidR="003D3CBB" w:rsidRPr="003D3CBB" w14:paraId="1AF4917F"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402D0A65"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Scrolling back up to the top, your funder may choose to include an evaluation and scoring tab, which would contain additional information on scoring criteria, the review and selection process and the potential award announcement date. </w:t>
            </w:r>
          </w:p>
        </w:tc>
      </w:tr>
      <w:tr w:rsidR="003D3CBB" w:rsidRPr="003D3CBB" w14:paraId="148B74AF" w14:textId="77777777" w:rsidTr="003D3CBB">
        <w:tc>
          <w:tcPr>
            <w:tcW w:w="10882" w:type="dxa"/>
            <w:tcBorders>
              <w:top w:val="nil"/>
              <w:left w:val="single" w:sz="6" w:space="0" w:color="auto"/>
              <w:bottom w:val="single" w:sz="6" w:space="0" w:color="auto"/>
              <w:right w:val="single" w:sz="6" w:space="0" w:color="auto"/>
            </w:tcBorders>
            <w:shd w:val="clear" w:color="auto" w:fill="auto"/>
            <w:hideMark/>
          </w:tcPr>
          <w:p w14:paraId="337E6F95" w14:textId="77777777" w:rsidR="003D3CBB" w:rsidRPr="003D3CBB" w:rsidRDefault="003D3CBB" w:rsidP="003D3CBB">
            <w:pPr>
              <w:spacing w:after="0" w:line="240" w:lineRule="auto"/>
              <w:textAlignment w:val="baseline"/>
              <w:rPr>
                <w:rFonts w:ascii="Segoe UI" w:eastAsia="Times New Roman" w:hAnsi="Segoe UI" w:cs="Segoe UI"/>
                <w:sz w:val="18"/>
                <w:szCs w:val="18"/>
              </w:rPr>
            </w:pPr>
            <w:r w:rsidRPr="003D3CBB">
              <w:rPr>
                <w:rFonts w:eastAsia="Times New Roman"/>
              </w:rPr>
              <w:t>Remember the sections and fields we reviewed today are all </w:t>
            </w:r>
            <w:proofErr w:type="gramStart"/>
            <w:r w:rsidRPr="003D3CBB">
              <w:rPr>
                <w:rFonts w:eastAsia="Times New Roman"/>
              </w:rPr>
              <w:t>available</w:t>
            </w:r>
            <w:proofErr w:type="gramEnd"/>
            <w:r w:rsidRPr="003D3CBB">
              <w:rPr>
                <w:rFonts w:eastAsia="Times New Roman"/>
              </w:rPr>
              <w:t xml:space="preserve"> but may not all be present on every opportunity you view.  The funder will determine and publish any relevant details for the opportunity.  Through this video </w:t>
            </w:r>
            <w:proofErr w:type="gramStart"/>
            <w:r w:rsidRPr="003D3CBB">
              <w:rPr>
                <w:rFonts w:eastAsia="Times New Roman"/>
              </w:rPr>
              <w:t>you’ve</w:t>
            </w:r>
            <w:proofErr w:type="gramEnd"/>
            <w:r w:rsidRPr="003D3CBB">
              <w:rPr>
                <w:rFonts w:eastAsia="Times New Roman"/>
              </w:rPr>
              <w:t xml:space="preserve"> learned about the opportunity overview available in our applicant portal.  Thank you! </w:t>
            </w:r>
          </w:p>
        </w:tc>
      </w:tr>
    </w:tbl>
    <w:p w14:paraId="0D08C74F" w14:textId="77777777" w:rsidR="00053B6A" w:rsidRDefault="00053B6A" w:rsidP="00053B6A">
      <w:pPr>
        <w:jc w:val="center"/>
        <w:rPr>
          <w:b/>
          <w:bCs/>
          <w:u w:val="single"/>
        </w:rPr>
      </w:pPr>
    </w:p>
    <w:sectPr w:rsidR="00053B6A"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99540" w14:textId="77777777" w:rsidR="00C96929" w:rsidRDefault="00C96929" w:rsidP="00000B0B">
      <w:pPr>
        <w:spacing w:after="0" w:line="240" w:lineRule="auto"/>
      </w:pPr>
      <w:r>
        <w:separator/>
      </w:r>
    </w:p>
  </w:endnote>
  <w:endnote w:type="continuationSeparator" w:id="0">
    <w:p w14:paraId="58E8B396" w14:textId="77777777" w:rsidR="00C96929" w:rsidRDefault="00C9692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5E8A0" w14:textId="77777777" w:rsidR="00C96929" w:rsidRDefault="00C96929" w:rsidP="00000B0B">
      <w:pPr>
        <w:spacing w:after="0" w:line="240" w:lineRule="auto"/>
      </w:pPr>
      <w:r>
        <w:separator/>
      </w:r>
    </w:p>
  </w:footnote>
  <w:footnote w:type="continuationSeparator" w:id="0">
    <w:p w14:paraId="6FCD682B" w14:textId="77777777" w:rsidR="00C96929" w:rsidRDefault="00C9692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53B6A"/>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3D3CBB"/>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96929"/>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053B6A"/>
  </w:style>
  <w:style w:type="paragraph" w:customStyle="1" w:styleId="paragraph">
    <w:name w:val="paragraph"/>
    <w:basedOn w:val="Normal"/>
    <w:rsid w:val="003D3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916834">
      <w:bodyDiv w:val="1"/>
      <w:marLeft w:val="0"/>
      <w:marRight w:val="0"/>
      <w:marTop w:val="0"/>
      <w:marBottom w:val="0"/>
      <w:divBdr>
        <w:top w:val="none" w:sz="0" w:space="0" w:color="auto"/>
        <w:left w:val="none" w:sz="0" w:space="0" w:color="auto"/>
        <w:bottom w:val="none" w:sz="0" w:space="0" w:color="auto"/>
        <w:right w:val="none" w:sz="0" w:space="0" w:color="auto"/>
      </w:divBdr>
      <w:divsChild>
        <w:div w:id="2108572087">
          <w:marLeft w:val="0"/>
          <w:marRight w:val="0"/>
          <w:marTop w:val="0"/>
          <w:marBottom w:val="0"/>
          <w:divBdr>
            <w:top w:val="none" w:sz="0" w:space="0" w:color="auto"/>
            <w:left w:val="none" w:sz="0" w:space="0" w:color="auto"/>
            <w:bottom w:val="none" w:sz="0" w:space="0" w:color="auto"/>
            <w:right w:val="none" w:sz="0" w:space="0" w:color="auto"/>
          </w:divBdr>
          <w:divsChild>
            <w:div w:id="1307513657">
              <w:marLeft w:val="0"/>
              <w:marRight w:val="0"/>
              <w:marTop w:val="0"/>
              <w:marBottom w:val="0"/>
              <w:divBdr>
                <w:top w:val="none" w:sz="0" w:space="0" w:color="auto"/>
                <w:left w:val="none" w:sz="0" w:space="0" w:color="auto"/>
                <w:bottom w:val="none" w:sz="0" w:space="0" w:color="auto"/>
                <w:right w:val="none" w:sz="0" w:space="0" w:color="auto"/>
              </w:divBdr>
            </w:div>
          </w:divsChild>
        </w:div>
        <w:div w:id="193352863">
          <w:marLeft w:val="0"/>
          <w:marRight w:val="0"/>
          <w:marTop w:val="0"/>
          <w:marBottom w:val="0"/>
          <w:divBdr>
            <w:top w:val="none" w:sz="0" w:space="0" w:color="auto"/>
            <w:left w:val="none" w:sz="0" w:space="0" w:color="auto"/>
            <w:bottom w:val="none" w:sz="0" w:space="0" w:color="auto"/>
            <w:right w:val="none" w:sz="0" w:space="0" w:color="auto"/>
          </w:divBdr>
          <w:divsChild>
            <w:div w:id="882987090">
              <w:marLeft w:val="0"/>
              <w:marRight w:val="0"/>
              <w:marTop w:val="0"/>
              <w:marBottom w:val="0"/>
              <w:divBdr>
                <w:top w:val="none" w:sz="0" w:space="0" w:color="auto"/>
                <w:left w:val="none" w:sz="0" w:space="0" w:color="auto"/>
                <w:bottom w:val="none" w:sz="0" w:space="0" w:color="auto"/>
                <w:right w:val="none" w:sz="0" w:space="0" w:color="auto"/>
              </w:divBdr>
            </w:div>
          </w:divsChild>
        </w:div>
        <w:div w:id="604269789">
          <w:marLeft w:val="0"/>
          <w:marRight w:val="0"/>
          <w:marTop w:val="0"/>
          <w:marBottom w:val="0"/>
          <w:divBdr>
            <w:top w:val="none" w:sz="0" w:space="0" w:color="auto"/>
            <w:left w:val="none" w:sz="0" w:space="0" w:color="auto"/>
            <w:bottom w:val="none" w:sz="0" w:space="0" w:color="auto"/>
            <w:right w:val="none" w:sz="0" w:space="0" w:color="auto"/>
          </w:divBdr>
          <w:divsChild>
            <w:div w:id="1799641022">
              <w:marLeft w:val="0"/>
              <w:marRight w:val="0"/>
              <w:marTop w:val="0"/>
              <w:marBottom w:val="0"/>
              <w:divBdr>
                <w:top w:val="none" w:sz="0" w:space="0" w:color="auto"/>
                <w:left w:val="none" w:sz="0" w:space="0" w:color="auto"/>
                <w:bottom w:val="none" w:sz="0" w:space="0" w:color="auto"/>
                <w:right w:val="none" w:sz="0" w:space="0" w:color="auto"/>
              </w:divBdr>
            </w:div>
          </w:divsChild>
        </w:div>
        <w:div w:id="1274433648">
          <w:marLeft w:val="0"/>
          <w:marRight w:val="0"/>
          <w:marTop w:val="0"/>
          <w:marBottom w:val="0"/>
          <w:divBdr>
            <w:top w:val="none" w:sz="0" w:space="0" w:color="auto"/>
            <w:left w:val="none" w:sz="0" w:space="0" w:color="auto"/>
            <w:bottom w:val="none" w:sz="0" w:space="0" w:color="auto"/>
            <w:right w:val="none" w:sz="0" w:space="0" w:color="auto"/>
          </w:divBdr>
          <w:divsChild>
            <w:div w:id="2142142361">
              <w:marLeft w:val="0"/>
              <w:marRight w:val="0"/>
              <w:marTop w:val="0"/>
              <w:marBottom w:val="0"/>
              <w:divBdr>
                <w:top w:val="none" w:sz="0" w:space="0" w:color="auto"/>
                <w:left w:val="none" w:sz="0" w:space="0" w:color="auto"/>
                <w:bottom w:val="none" w:sz="0" w:space="0" w:color="auto"/>
                <w:right w:val="none" w:sz="0" w:space="0" w:color="auto"/>
              </w:divBdr>
            </w:div>
          </w:divsChild>
        </w:div>
        <w:div w:id="1793358186">
          <w:marLeft w:val="0"/>
          <w:marRight w:val="0"/>
          <w:marTop w:val="0"/>
          <w:marBottom w:val="0"/>
          <w:divBdr>
            <w:top w:val="none" w:sz="0" w:space="0" w:color="auto"/>
            <w:left w:val="none" w:sz="0" w:space="0" w:color="auto"/>
            <w:bottom w:val="none" w:sz="0" w:space="0" w:color="auto"/>
            <w:right w:val="none" w:sz="0" w:space="0" w:color="auto"/>
          </w:divBdr>
          <w:divsChild>
            <w:div w:id="1877540967">
              <w:marLeft w:val="0"/>
              <w:marRight w:val="0"/>
              <w:marTop w:val="0"/>
              <w:marBottom w:val="0"/>
              <w:divBdr>
                <w:top w:val="none" w:sz="0" w:space="0" w:color="auto"/>
                <w:left w:val="none" w:sz="0" w:space="0" w:color="auto"/>
                <w:bottom w:val="none" w:sz="0" w:space="0" w:color="auto"/>
                <w:right w:val="none" w:sz="0" w:space="0" w:color="auto"/>
              </w:divBdr>
            </w:div>
          </w:divsChild>
        </w:div>
        <w:div w:id="546532976">
          <w:marLeft w:val="0"/>
          <w:marRight w:val="0"/>
          <w:marTop w:val="0"/>
          <w:marBottom w:val="0"/>
          <w:divBdr>
            <w:top w:val="none" w:sz="0" w:space="0" w:color="auto"/>
            <w:left w:val="none" w:sz="0" w:space="0" w:color="auto"/>
            <w:bottom w:val="none" w:sz="0" w:space="0" w:color="auto"/>
            <w:right w:val="none" w:sz="0" w:space="0" w:color="auto"/>
          </w:divBdr>
          <w:divsChild>
            <w:div w:id="308830656">
              <w:marLeft w:val="0"/>
              <w:marRight w:val="0"/>
              <w:marTop w:val="0"/>
              <w:marBottom w:val="0"/>
              <w:divBdr>
                <w:top w:val="none" w:sz="0" w:space="0" w:color="auto"/>
                <w:left w:val="none" w:sz="0" w:space="0" w:color="auto"/>
                <w:bottom w:val="none" w:sz="0" w:space="0" w:color="auto"/>
                <w:right w:val="none" w:sz="0" w:space="0" w:color="auto"/>
              </w:divBdr>
            </w:div>
          </w:divsChild>
        </w:div>
        <w:div w:id="571695283">
          <w:marLeft w:val="0"/>
          <w:marRight w:val="0"/>
          <w:marTop w:val="0"/>
          <w:marBottom w:val="0"/>
          <w:divBdr>
            <w:top w:val="none" w:sz="0" w:space="0" w:color="auto"/>
            <w:left w:val="none" w:sz="0" w:space="0" w:color="auto"/>
            <w:bottom w:val="none" w:sz="0" w:space="0" w:color="auto"/>
            <w:right w:val="none" w:sz="0" w:space="0" w:color="auto"/>
          </w:divBdr>
          <w:divsChild>
            <w:div w:id="1860894757">
              <w:marLeft w:val="0"/>
              <w:marRight w:val="0"/>
              <w:marTop w:val="0"/>
              <w:marBottom w:val="0"/>
              <w:divBdr>
                <w:top w:val="none" w:sz="0" w:space="0" w:color="auto"/>
                <w:left w:val="none" w:sz="0" w:space="0" w:color="auto"/>
                <w:bottom w:val="none" w:sz="0" w:space="0" w:color="auto"/>
                <w:right w:val="none" w:sz="0" w:space="0" w:color="auto"/>
              </w:divBdr>
            </w:div>
          </w:divsChild>
        </w:div>
        <w:div w:id="1675065709">
          <w:marLeft w:val="0"/>
          <w:marRight w:val="0"/>
          <w:marTop w:val="0"/>
          <w:marBottom w:val="0"/>
          <w:divBdr>
            <w:top w:val="none" w:sz="0" w:space="0" w:color="auto"/>
            <w:left w:val="none" w:sz="0" w:space="0" w:color="auto"/>
            <w:bottom w:val="none" w:sz="0" w:space="0" w:color="auto"/>
            <w:right w:val="none" w:sz="0" w:space="0" w:color="auto"/>
          </w:divBdr>
          <w:divsChild>
            <w:div w:id="1548103379">
              <w:marLeft w:val="0"/>
              <w:marRight w:val="0"/>
              <w:marTop w:val="0"/>
              <w:marBottom w:val="0"/>
              <w:divBdr>
                <w:top w:val="none" w:sz="0" w:space="0" w:color="auto"/>
                <w:left w:val="none" w:sz="0" w:space="0" w:color="auto"/>
                <w:bottom w:val="none" w:sz="0" w:space="0" w:color="auto"/>
                <w:right w:val="none" w:sz="0" w:space="0" w:color="auto"/>
              </w:divBdr>
            </w:div>
          </w:divsChild>
        </w:div>
        <w:div w:id="1621568241">
          <w:marLeft w:val="0"/>
          <w:marRight w:val="0"/>
          <w:marTop w:val="0"/>
          <w:marBottom w:val="0"/>
          <w:divBdr>
            <w:top w:val="none" w:sz="0" w:space="0" w:color="auto"/>
            <w:left w:val="none" w:sz="0" w:space="0" w:color="auto"/>
            <w:bottom w:val="none" w:sz="0" w:space="0" w:color="auto"/>
            <w:right w:val="none" w:sz="0" w:space="0" w:color="auto"/>
          </w:divBdr>
          <w:divsChild>
            <w:div w:id="1920212122">
              <w:marLeft w:val="0"/>
              <w:marRight w:val="0"/>
              <w:marTop w:val="0"/>
              <w:marBottom w:val="0"/>
              <w:divBdr>
                <w:top w:val="none" w:sz="0" w:space="0" w:color="auto"/>
                <w:left w:val="none" w:sz="0" w:space="0" w:color="auto"/>
                <w:bottom w:val="none" w:sz="0" w:space="0" w:color="auto"/>
                <w:right w:val="none" w:sz="0" w:space="0" w:color="auto"/>
              </w:divBdr>
            </w:div>
          </w:divsChild>
        </w:div>
        <w:div w:id="442193913">
          <w:marLeft w:val="0"/>
          <w:marRight w:val="0"/>
          <w:marTop w:val="0"/>
          <w:marBottom w:val="0"/>
          <w:divBdr>
            <w:top w:val="none" w:sz="0" w:space="0" w:color="auto"/>
            <w:left w:val="none" w:sz="0" w:space="0" w:color="auto"/>
            <w:bottom w:val="none" w:sz="0" w:space="0" w:color="auto"/>
            <w:right w:val="none" w:sz="0" w:space="0" w:color="auto"/>
          </w:divBdr>
          <w:divsChild>
            <w:div w:id="81293644">
              <w:marLeft w:val="0"/>
              <w:marRight w:val="0"/>
              <w:marTop w:val="0"/>
              <w:marBottom w:val="0"/>
              <w:divBdr>
                <w:top w:val="none" w:sz="0" w:space="0" w:color="auto"/>
                <w:left w:val="none" w:sz="0" w:space="0" w:color="auto"/>
                <w:bottom w:val="none" w:sz="0" w:space="0" w:color="auto"/>
                <w:right w:val="none" w:sz="0" w:space="0" w:color="auto"/>
              </w:divBdr>
            </w:div>
          </w:divsChild>
        </w:div>
        <w:div w:id="299310859">
          <w:marLeft w:val="0"/>
          <w:marRight w:val="0"/>
          <w:marTop w:val="0"/>
          <w:marBottom w:val="0"/>
          <w:divBdr>
            <w:top w:val="none" w:sz="0" w:space="0" w:color="auto"/>
            <w:left w:val="none" w:sz="0" w:space="0" w:color="auto"/>
            <w:bottom w:val="none" w:sz="0" w:space="0" w:color="auto"/>
            <w:right w:val="none" w:sz="0" w:space="0" w:color="auto"/>
          </w:divBdr>
          <w:divsChild>
            <w:div w:id="28921802">
              <w:marLeft w:val="0"/>
              <w:marRight w:val="0"/>
              <w:marTop w:val="0"/>
              <w:marBottom w:val="0"/>
              <w:divBdr>
                <w:top w:val="none" w:sz="0" w:space="0" w:color="auto"/>
                <w:left w:val="none" w:sz="0" w:space="0" w:color="auto"/>
                <w:bottom w:val="none" w:sz="0" w:space="0" w:color="auto"/>
                <w:right w:val="none" w:sz="0" w:space="0" w:color="auto"/>
              </w:divBdr>
            </w:div>
          </w:divsChild>
        </w:div>
        <w:div w:id="1585072382">
          <w:marLeft w:val="0"/>
          <w:marRight w:val="0"/>
          <w:marTop w:val="0"/>
          <w:marBottom w:val="0"/>
          <w:divBdr>
            <w:top w:val="none" w:sz="0" w:space="0" w:color="auto"/>
            <w:left w:val="none" w:sz="0" w:space="0" w:color="auto"/>
            <w:bottom w:val="none" w:sz="0" w:space="0" w:color="auto"/>
            <w:right w:val="none" w:sz="0" w:space="0" w:color="auto"/>
          </w:divBdr>
          <w:divsChild>
            <w:div w:id="1986353998">
              <w:marLeft w:val="0"/>
              <w:marRight w:val="0"/>
              <w:marTop w:val="0"/>
              <w:marBottom w:val="0"/>
              <w:divBdr>
                <w:top w:val="none" w:sz="0" w:space="0" w:color="auto"/>
                <w:left w:val="none" w:sz="0" w:space="0" w:color="auto"/>
                <w:bottom w:val="none" w:sz="0" w:space="0" w:color="auto"/>
                <w:right w:val="none" w:sz="0" w:space="0" w:color="auto"/>
              </w:divBdr>
            </w:div>
          </w:divsChild>
        </w:div>
        <w:div w:id="1416434606">
          <w:marLeft w:val="0"/>
          <w:marRight w:val="0"/>
          <w:marTop w:val="0"/>
          <w:marBottom w:val="0"/>
          <w:divBdr>
            <w:top w:val="none" w:sz="0" w:space="0" w:color="auto"/>
            <w:left w:val="none" w:sz="0" w:space="0" w:color="auto"/>
            <w:bottom w:val="none" w:sz="0" w:space="0" w:color="auto"/>
            <w:right w:val="none" w:sz="0" w:space="0" w:color="auto"/>
          </w:divBdr>
          <w:divsChild>
            <w:div w:id="1483737758">
              <w:marLeft w:val="0"/>
              <w:marRight w:val="0"/>
              <w:marTop w:val="0"/>
              <w:marBottom w:val="0"/>
              <w:divBdr>
                <w:top w:val="none" w:sz="0" w:space="0" w:color="auto"/>
                <w:left w:val="none" w:sz="0" w:space="0" w:color="auto"/>
                <w:bottom w:val="none" w:sz="0" w:space="0" w:color="auto"/>
                <w:right w:val="none" w:sz="0" w:space="0" w:color="auto"/>
              </w:divBdr>
            </w:div>
          </w:divsChild>
        </w:div>
        <w:div w:id="2172809">
          <w:marLeft w:val="0"/>
          <w:marRight w:val="0"/>
          <w:marTop w:val="0"/>
          <w:marBottom w:val="0"/>
          <w:divBdr>
            <w:top w:val="none" w:sz="0" w:space="0" w:color="auto"/>
            <w:left w:val="none" w:sz="0" w:space="0" w:color="auto"/>
            <w:bottom w:val="none" w:sz="0" w:space="0" w:color="auto"/>
            <w:right w:val="none" w:sz="0" w:space="0" w:color="auto"/>
          </w:divBdr>
          <w:divsChild>
            <w:div w:id="2104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46RQJNK23EVN-1337156804-40183</_dlc_DocId>
    <_dlc_DocIdUrl xmlns="83fd7b6e-5f23-487e-aad6-cb3ca280b681">
      <Url>https://streamlinksoftware.sharepoint.com/sites/StreamLinkSoftwareCloudDrive/_layouts/15/DocIdRedir.aspx?ID=46RQJNK23EVN-1337156804-40183</Url>
      <Description>46RQJNK23EVN-1337156804-40183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2020-10-23T15:04:00Z</dcterms:created>
  <dcterms:modified xsi:type="dcterms:W3CDTF">2020-10-23T15:04:00Z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3b3ddfd0-8865-4494-b88c-1f3f08d9cb2c</vt:lpwstr>
  </property>
</Properties>
</file>